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3E" w:rsidRPr="0037553E" w:rsidRDefault="0037553E" w:rsidP="0037553E">
      <w:pPr>
        <w:pStyle w:val="Title"/>
      </w:pPr>
      <w:r>
        <w:t>HEOPS</w:t>
      </w:r>
    </w:p>
    <w:p w:rsidR="0037553E" w:rsidRDefault="0037553E" w:rsidP="0037553E">
      <w:pPr>
        <w:pStyle w:val="Title"/>
      </w:pPr>
      <w:r>
        <w:t xml:space="preserve">Health Surveillance in the Higher Education Sector </w:t>
      </w:r>
    </w:p>
    <w:p w:rsidR="00C41DF0" w:rsidRDefault="0037553E" w:rsidP="0037553E">
      <w:pPr>
        <w:pStyle w:val="Title"/>
      </w:pPr>
      <w:r>
        <w:t>Policy and Guidance</w:t>
      </w:r>
    </w:p>
    <w:p w:rsidR="0037553E" w:rsidRDefault="0037553E" w:rsidP="0037553E">
      <w:pPr>
        <w:pStyle w:val="Heading1"/>
      </w:pPr>
      <w:r>
        <w:t>Background</w:t>
      </w:r>
    </w:p>
    <w:p w:rsidR="0037553E" w:rsidRDefault="0037553E" w:rsidP="0037553E">
      <w:r>
        <w:t>The higher education sector has significant and unique qualities that require special consideration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Very extensive and wide variety of activities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Handling a wide range of materials many of them novel and handled in unique research situations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Handling materials with specific and particularly hazardous properties (eg nanoparticulates)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 xml:space="preserve">Very flexible workforce with rapid rotation of personnel and academic management structure </w:t>
      </w:r>
      <w:r w:rsidR="004229C7">
        <w:t>often</w:t>
      </w:r>
      <w:r>
        <w:t xml:space="preserve"> with unclear hierarchies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This poses problem both in determining the health surveillance that is appropriate and in the delivery of health surveillance programmes that are identified.</w:t>
      </w:r>
    </w:p>
    <w:p w:rsidR="0037553E" w:rsidRDefault="0037553E" w:rsidP="00540DAD">
      <w:pPr>
        <w:pStyle w:val="ListParagraph"/>
        <w:numPr>
          <w:ilvl w:val="0"/>
          <w:numId w:val="1"/>
        </w:numPr>
      </w:pPr>
      <w:r>
        <w:t>This guidance describes the areas where health surveillance may be appropriate and gives advice on how they may be delivered</w:t>
      </w:r>
    </w:p>
    <w:p w:rsidR="0037553E" w:rsidRDefault="0037553E" w:rsidP="0037553E">
      <w:pPr>
        <w:pStyle w:val="Heading1"/>
      </w:pPr>
      <w:r>
        <w:t>Scope</w:t>
      </w:r>
    </w:p>
    <w:p w:rsidR="00540DAD" w:rsidRDefault="00540DAD" w:rsidP="00540DAD">
      <w:r>
        <w:t>This document describes the requirements for and the provision of health surveillance in the higher education sector</w:t>
      </w:r>
    </w:p>
    <w:p w:rsidR="00540DAD" w:rsidRDefault="00540DAD" w:rsidP="00540DAD">
      <w:r>
        <w:t>It concentrates on those activities which are unique to the higher education situation.  It includes surveillance required under legislation (eg COSHH) but includes other health surveillance according to current best practice</w:t>
      </w:r>
    </w:p>
    <w:p w:rsidR="00540DAD" w:rsidRDefault="00540DAD" w:rsidP="00540DAD">
      <w:pPr>
        <w:pStyle w:val="Heading1"/>
      </w:pPr>
      <w:r>
        <w:t>Health Surveillance Requirements</w:t>
      </w:r>
    </w:p>
    <w:p w:rsidR="00540DAD" w:rsidRDefault="00540DAD" w:rsidP="00540DAD">
      <w:r>
        <w:t>Areas where health surveillance may be required</w:t>
      </w:r>
    </w:p>
    <w:p w:rsidR="00540DAD" w:rsidRDefault="00540DAD" w:rsidP="00540DAD">
      <w:pPr>
        <w:pStyle w:val="ListParagraph"/>
        <w:numPr>
          <w:ilvl w:val="0"/>
          <w:numId w:val="2"/>
        </w:numPr>
      </w:pPr>
      <w:r>
        <w:t>Research laboratories – chemical, physics, medical</w:t>
      </w:r>
    </w:p>
    <w:p w:rsidR="00540DAD" w:rsidRDefault="00540DAD" w:rsidP="00540DAD">
      <w:pPr>
        <w:pStyle w:val="ListParagraph"/>
        <w:numPr>
          <w:ilvl w:val="0"/>
          <w:numId w:val="2"/>
        </w:numPr>
      </w:pPr>
      <w:r>
        <w:t>Animal testing facilities</w:t>
      </w:r>
    </w:p>
    <w:p w:rsidR="00540DAD" w:rsidRDefault="00540DAD" w:rsidP="00540DAD">
      <w:pPr>
        <w:pStyle w:val="ListParagraph"/>
        <w:numPr>
          <w:ilvl w:val="0"/>
          <w:numId w:val="2"/>
        </w:numPr>
      </w:pPr>
      <w:r>
        <w:t>Other areas – agriculture, horticulture, art and sculpture, engineering etc</w:t>
      </w:r>
    </w:p>
    <w:p w:rsidR="00540DAD" w:rsidRDefault="00540DAD" w:rsidP="00540DAD">
      <w:pPr>
        <w:pStyle w:val="Heading1"/>
      </w:pPr>
      <w:r>
        <w:t>Health Surveillance Process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Determining who requires health surveillance (reference to technical guidance to be developed)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Creating and maintaining the health record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Procedures for recall and attendance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Health surveillance procedures and staff competencies (reference to external guidance)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Auditing surveillance compliance</w:t>
      </w:r>
    </w:p>
    <w:p w:rsidR="00540DAD" w:rsidRDefault="00540DAD" w:rsidP="00540DAD">
      <w:pPr>
        <w:pStyle w:val="ListParagraph"/>
        <w:numPr>
          <w:ilvl w:val="0"/>
          <w:numId w:val="3"/>
        </w:numPr>
      </w:pPr>
      <w:r>
        <w:t>Data protection and record keeping</w:t>
      </w:r>
    </w:p>
    <w:p w:rsidR="0037553E" w:rsidRPr="0037553E" w:rsidRDefault="00540DAD" w:rsidP="0037553E">
      <w:pPr>
        <w:pStyle w:val="ListParagraph"/>
        <w:numPr>
          <w:ilvl w:val="0"/>
          <w:numId w:val="3"/>
        </w:numPr>
      </w:pPr>
      <w:r>
        <w:t>Measuring and reporting outcomes</w:t>
      </w:r>
    </w:p>
    <w:sectPr w:rsidR="0037553E" w:rsidRPr="0037553E" w:rsidSect="0020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1DD"/>
    <w:multiLevelType w:val="hybridMultilevel"/>
    <w:tmpl w:val="9662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D5F81"/>
    <w:multiLevelType w:val="hybridMultilevel"/>
    <w:tmpl w:val="2662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85469"/>
    <w:multiLevelType w:val="hybridMultilevel"/>
    <w:tmpl w:val="2C14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53E"/>
    <w:rsid w:val="00030A24"/>
    <w:rsid w:val="00203187"/>
    <w:rsid w:val="0037553E"/>
    <w:rsid w:val="004229C7"/>
    <w:rsid w:val="00540DAD"/>
    <w:rsid w:val="0072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87"/>
  </w:style>
  <w:style w:type="paragraph" w:styleId="Heading1">
    <w:name w:val="heading 1"/>
    <w:basedOn w:val="Normal"/>
    <w:next w:val="Normal"/>
    <w:link w:val="Heading1Char"/>
    <w:uiPriority w:val="9"/>
    <w:qFormat/>
    <w:rsid w:val="004229C7"/>
    <w:pPr>
      <w:keepNext/>
      <w:keepLines/>
      <w:spacing w:before="160" w:after="16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53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53E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229C7"/>
    <w:rPr>
      <w:rFonts w:eastAsiaTheme="majorEastAsi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4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2012-11-27T18:28:00Z</dcterms:created>
  <dcterms:modified xsi:type="dcterms:W3CDTF">2012-11-27T18:51:00Z</dcterms:modified>
</cp:coreProperties>
</file>